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top w:w="90" w:type="dxa"/>
          <w:left w:w="90" w:type="dxa"/>
          <w:bottom w:w="90" w:type="dxa"/>
          <w:right w:w="90" w:type="dxa"/>
        </w:tblCellMar>
        <w:tblLook w:val="04A0" w:firstRow="1" w:lastRow="0" w:firstColumn="1" w:lastColumn="0" w:noHBand="0" w:noVBand="1"/>
      </w:tblPr>
      <w:tblGrid>
        <w:gridCol w:w="200"/>
        <w:gridCol w:w="200"/>
        <w:gridCol w:w="3292"/>
        <w:gridCol w:w="473"/>
        <w:gridCol w:w="473"/>
        <w:gridCol w:w="4671"/>
      </w:tblGrid>
      <w:tr w:rsidR="00B21212" w:rsidRPr="00B21212" w14:paraId="08AB4635" w14:textId="77777777" w:rsidTr="00A631BC">
        <w:trPr>
          <w:trHeight w:val="525"/>
        </w:trPr>
        <w:tc>
          <w:tcPr>
            <w:tcW w:w="9535" w:type="dxa"/>
            <w:gridSpan w:val="6"/>
            <w:tcBorders>
              <w:top w:val="single" w:sz="18" w:space="0" w:color="1544C9"/>
              <w:left w:val="single" w:sz="18" w:space="0" w:color="1544C9"/>
              <w:bottom w:val="single" w:sz="18" w:space="0" w:color="1544C9"/>
              <w:right w:val="single" w:sz="18" w:space="0" w:color="1544C9"/>
            </w:tcBorders>
            <w:shd w:val="clear" w:color="auto" w:fill="E0E8F9"/>
            <w:vAlign w:val="center"/>
            <w:hideMark/>
          </w:tcPr>
          <w:p w14:paraId="59ECB96E" w14:textId="77777777" w:rsidR="00A631BC" w:rsidRDefault="00B21212" w:rsidP="00B21212">
            <w:pPr>
              <w:spacing w:after="0" w:line="240" w:lineRule="auto"/>
              <w:jc w:val="center"/>
              <w:rPr>
                <w:rFonts w:ascii="Calibri" w:eastAsia="Times New Roman" w:hAnsi="Calibri" w:cs="Calibri"/>
                <w:sz w:val="24"/>
                <w:szCs w:val="24"/>
                <w:lang w:eastAsia="ru-RU"/>
              </w:rPr>
            </w:pPr>
            <w:bookmarkStart w:id="0" w:name="_GoBack"/>
            <w:bookmarkEnd w:id="0"/>
            <w:r w:rsidRPr="00B21212">
              <w:rPr>
                <w:rFonts w:ascii="Calibri" w:eastAsia="Times New Roman" w:hAnsi="Calibri" w:cs="Calibri"/>
                <w:sz w:val="24"/>
                <w:szCs w:val="24"/>
                <w:lang w:eastAsia="ru-RU"/>
              </w:rPr>
              <w:t>От уплаты государственной пошлины освобождаются</w:t>
            </w:r>
            <w:r w:rsidR="00A631BC">
              <w:rPr>
                <w:rFonts w:ascii="Calibri" w:eastAsia="Times New Roman" w:hAnsi="Calibri" w:cs="Calibri"/>
                <w:sz w:val="24"/>
                <w:szCs w:val="24"/>
                <w:lang w:eastAsia="ru-RU"/>
              </w:rPr>
              <w:t xml:space="preserve"> </w:t>
            </w:r>
          </w:p>
          <w:p w14:paraId="6669ECB8" w14:textId="08AA25DB" w:rsidR="00B21212" w:rsidRPr="00A631BC" w:rsidRDefault="00A631BC" w:rsidP="00B21212">
            <w:pPr>
              <w:spacing w:after="0" w:line="240" w:lineRule="auto"/>
              <w:jc w:val="center"/>
              <w:rPr>
                <w:rFonts w:ascii="Calibri" w:eastAsia="Times New Roman" w:hAnsi="Calibri" w:cs="Calibri"/>
                <w:i/>
                <w:iCs/>
                <w:sz w:val="24"/>
                <w:szCs w:val="24"/>
                <w:lang w:eastAsia="ru-RU"/>
              </w:rPr>
            </w:pPr>
            <w:r w:rsidRPr="00A631BC">
              <w:rPr>
                <w:rFonts w:ascii="Calibri" w:eastAsia="Times New Roman" w:hAnsi="Calibri" w:cs="Calibri"/>
                <w:i/>
                <w:iCs/>
                <w:sz w:val="24"/>
                <w:szCs w:val="24"/>
                <w:lang w:eastAsia="ru-RU"/>
              </w:rPr>
              <w:t>(п. 10.25 – п. 10.26</w:t>
            </w:r>
            <w:r w:rsidR="00667B50">
              <w:rPr>
                <w:rFonts w:ascii="Calibri" w:eastAsia="Times New Roman" w:hAnsi="Calibri" w:cs="Calibri"/>
                <w:i/>
                <w:iCs/>
                <w:sz w:val="24"/>
                <w:szCs w:val="24"/>
                <w:vertAlign w:val="superscript"/>
                <w:lang w:eastAsia="ru-RU"/>
              </w:rPr>
              <w:t>3</w:t>
            </w:r>
            <w:r w:rsidRPr="00A631BC">
              <w:rPr>
                <w:rFonts w:ascii="Calibri" w:eastAsia="Times New Roman" w:hAnsi="Calibri" w:cs="Calibri"/>
                <w:i/>
                <w:iCs/>
                <w:sz w:val="24"/>
                <w:szCs w:val="24"/>
                <w:lang w:eastAsia="ru-RU"/>
              </w:rPr>
              <w:t>, п.12 ст. 285 Налогового Кодекса Республики Беларусь)</w:t>
            </w:r>
            <w:r w:rsidR="00B21212" w:rsidRPr="00A631BC">
              <w:rPr>
                <w:rFonts w:ascii="Calibri" w:eastAsia="Times New Roman" w:hAnsi="Calibri" w:cs="Calibri"/>
                <w:i/>
                <w:iCs/>
                <w:sz w:val="24"/>
                <w:szCs w:val="24"/>
                <w:lang w:eastAsia="ru-RU"/>
              </w:rPr>
              <w:t>:</w:t>
            </w:r>
          </w:p>
        </w:tc>
      </w:tr>
      <w:tr w:rsidR="00B21212" w:rsidRPr="00B21212" w14:paraId="4CC148DE" w14:textId="77777777" w:rsidTr="00A631BC">
        <w:trPr>
          <w:trHeight w:val="225"/>
        </w:trPr>
        <w:tc>
          <w:tcPr>
            <w:tcW w:w="186" w:type="dxa"/>
            <w:tcBorders>
              <w:top w:val="nil"/>
              <w:left w:val="nil"/>
              <w:bottom w:val="nil"/>
              <w:right w:val="nil"/>
            </w:tcBorders>
            <w:vAlign w:val="center"/>
            <w:hideMark/>
          </w:tcPr>
          <w:p w14:paraId="2DB1204B"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7F30AA32" w14:textId="77777777" w:rsidR="00B21212" w:rsidRPr="00B21212" w:rsidRDefault="00B21212" w:rsidP="00B21212">
            <w:pPr>
              <w:spacing w:after="0" w:line="240" w:lineRule="auto"/>
              <w:rPr>
                <w:rFonts w:ascii="Calibri" w:eastAsia="Times New Roman" w:hAnsi="Calibri" w:cs="Calibri"/>
                <w:szCs w:val="24"/>
                <w:lang w:eastAsia="ru-RU"/>
              </w:rPr>
            </w:pPr>
          </w:p>
        </w:tc>
        <w:tc>
          <w:tcPr>
            <w:tcW w:w="3384" w:type="dxa"/>
            <w:tcBorders>
              <w:top w:val="nil"/>
              <w:left w:val="nil"/>
              <w:bottom w:val="nil"/>
              <w:right w:val="nil"/>
            </w:tcBorders>
            <w:vAlign w:val="center"/>
            <w:hideMark/>
          </w:tcPr>
          <w:p w14:paraId="08FE2EE9"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tcBorders>
              <w:top w:val="nil"/>
              <w:left w:val="nil"/>
              <w:bottom w:val="nil"/>
              <w:right w:val="nil"/>
            </w:tcBorders>
            <w:vAlign w:val="center"/>
            <w:hideMark/>
          </w:tcPr>
          <w:p w14:paraId="1A5A661B"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tcBorders>
              <w:top w:val="nil"/>
              <w:left w:val="nil"/>
              <w:bottom w:val="nil"/>
              <w:right w:val="nil"/>
            </w:tcBorders>
            <w:vAlign w:val="center"/>
            <w:hideMark/>
          </w:tcPr>
          <w:p w14:paraId="190BDBE6" w14:textId="77777777" w:rsidR="00B21212" w:rsidRPr="00B21212" w:rsidRDefault="00B21212" w:rsidP="00B21212">
            <w:pPr>
              <w:spacing w:after="0" w:line="240" w:lineRule="auto"/>
              <w:rPr>
                <w:rFonts w:ascii="Calibri" w:eastAsia="Times New Roman" w:hAnsi="Calibri" w:cs="Calibri"/>
                <w:szCs w:val="24"/>
                <w:lang w:eastAsia="ru-RU"/>
              </w:rPr>
            </w:pPr>
          </w:p>
        </w:tc>
        <w:tc>
          <w:tcPr>
            <w:tcW w:w="4803" w:type="dxa"/>
            <w:tcBorders>
              <w:top w:val="nil"/>
              <w:left w:val="nil"/>
              <w:bottom w:val="nil"/>
              <w:right w:val="nil"/>
            </w:tcBorders>
            <w:vAlign w:val="center"/>
            <w:hideMark/>
          </w:tcPr>
          <w:p w14:paraId="76FFC1F8"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0B79657D" w14:textId="77777777" w:rsidTr="00A631BC">
        <w:trPr>
          <w:trHeight w:val="225"/>
        </w:trPr>
        <w:tc>
          <w:tcPr>
            <w:tcW w:w="186" w:type="dxa"/>
            <w:tcBorders>
              <w:top w:val="nil"/>
              <w:left w:val="nil"/>
              <w:bottom w:val="nil"/>
              <w:right w:val="nil"/>
            </w:tcBorders>
            <w:vAlign w:val="center"/>
            <w:hideMark/>
          </w:tcPr>
          <w:p w14:paraId="541FEA84"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6774B5C6" w14:textId="77777777" w:rsidR="00B21212" w:rsidRPr="00B21212" w:rsidRDefault="00B21212" w:rsidP="00B21212">
            <w:pPr>
              <w:spacing w:after="0" w:line="240" w:lineRule="auto"/>
              <w:rPr>
                <w:rFonts w:ascii="Calibri" w:eastAsia="Times New Roman" w:hAnsi="Calibri" w:cs="Calibri"/>
                <w:szCs w:val="24"/>
                <w:lang w:eastAsia="ru-RU"/>
              </w:rPr>
            </w:pPr>
          </w:p>
        </w:tc>
        <w:tc>
          <w:tcPr>
            <w:tcW w:w="3384" w:type="dxa"/>
            <w:vAlign w:val="center"/>
            <w:hideMark/>
          </w:tcPr>
          <w:p w14:paraId="036E5562"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vAlign w:val="center"/>
            <w:hideMark/>
          </w:tcPr>
          <w:p w14:paraId="3ACE4C05" w14:textId="77777777" w:rsidR="00B21212" w:rsidRPr="00B21212" w:rsidRDefault="00B21212" w:rsidP="00B21212">
            <w:pPr>
              <w:spacing w:after="0" w:line="240" w:lineRule="auto"/>
              <w:rPr>
                <w:rFonts w:ascii="Calibri" w:eastAsia="Times New Roman" w:hAnsi="Calibri" w:cs="Calibri"/>
                <w:szCs w:val="24"/>
                <w:lang w:eastAsia="ru-RU"/>
              </w:rPr>
            </w:pPr>
          </w:p>
        </w:tc>
        <w:tc>
          <w:tcPr>
            <w:tcW w:w="481" w:type="dxa"/>
            <w:vAlign w:val="center"/>
            <w:hideMark/>
          </w:tcPr>
          <w:p w14:paraId="1747373B" w14:textId="77777777" w:rsidR="00B21212" w:rsidRPr="00B21212" w:rsidRDefault="00B21212" w:rsidP="00B21212">
            <w:pPr>
              <w:spacing w:after="0" w:line="240" w:lineRule="auto"/>
              <w:rPr>
                <w:rFonts w:ascii="Calibri" w:eastAsia="Times New Roman" w:hAnsi="Calibri" w:cs="Calibri"/>
                <w:szCs w:val="24"/>
                <w:lang w:eastAsia="ru-RU"/>
              </w:rPr>
            </w:pPr>
          </w:p>
        </w:tc>
        <w:tc>
          <w:tcPr>
            <w:tcW w:w="4803" w:type="dxa"/>
            <w:vAlign w:val="center"/>
            <w:hideMark/>
          </w:tcPr>
          <w:p w14:paraId="221E9CFD"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265B88E6" w14:textId="77777777" w:rsidTr="00A631BC">
        <w:trPr>
          <w:trHeight w:val="225"/>
        </w:trPr>
        <w:tc>
          <w:tcPr>
            <w:tcW w:w="186" w:type="dxa"/>
            <w:tcBorders>
              <w:top w:val="nil"/>
              <w:left w:val="nil"/>
              <w:bottom w:val="nil"/>
              <w:right w:val="nil"/>
            </w:tcBorders>
            <w:vAlign w:val="center"/>
            <w:hideMark/>
          </w:tcPr>
          <w:p w14:paraId="4B371C24"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1C3F5F9B"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hideMark/>
          </w:tcPr>
          <w:p w14:paraId="46437E92" w14:textId="5C81A1F9" w:rsidR="00B21212" w:rsidRPr="00B21212"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10.25. организация, подчиненная (подотчетная) Президенту Республики Беларусь или подчиненная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организация по государственной регистрации недвижимого имущества, прав на него и сделок с ним,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 а также нотариус, государственное учреждение «Секретариат Наблюдательного совета Парка высоких технологий», государственное учреждение «Агентство по гарантированному возмещению банковских вкладов (депозитов) физических лиц»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 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tc>
      </w:tr>
      <w:tr w:rsidR="00B21212" w:rsidRPr="00B21212" w14:paraId="2BBD11E0" w14:textId="77777777" w:rsidTr="00A631BC">
        <w:trPr>
          <w:trHeight w:val="225"/>
        </w:trPr>
        <w:tc>
          <w:tcPr>
            <w:tcW w:w="186" w:type="dxa"/>
            <w:tcBorders>
              <w:top w:val="nil"/>
              <w:left w:val="nil"/>
              <w:bottom w:val="nil"/>
              <w:right w:val="nil"/>
            </w:tcBorders>
            <w:vAlign w:val="center"/>
            <w:hideMark/>
          </w:tcPr>
          <w:p w14:paraId="209F9B93"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26201CD6"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tcBorders>
              <w:top w:val="nil"/>
              <w:left w:val="single" w:sz="12" w:space="0" w:color="1544C9"/>
              <w:bottom w:val="nil"/>
              <w:right w:val="nil"/>
            </w:tcBorders>
            <w:vAlign w:val="center"/>
            <w:hideMark/>
          </w:tcPr>
          <w:p w14:paraId="38FF0DB1" w14:textId="77777777" w:rsidR="00B21212" w:rsidRPr="00B21212" w:rsidRDefault="00B21212" w:rsidP="00B21212">
            <w:pPr>
              <w:spacing w:after="0" w:line="240" w:lineRule="auto"/>
              <w:rPr>
                <w:rFonts w:ascii="Calibri" w:eastAsia="Times New Roman" w:hAnsi="Calibri" w:cs="Calibri"/>
                <w:sz w:val="24"/>
                <w:szCs w:val="24"/>
                <w:lang w:eastAsia="ru-RU"/>
              </w:rPr>
            </w:pPr>
          </w:p>
        </w:tc>
      </w:tr>
      <w:tr w:rsidR="00B21212" w:rsidRPr="00B21212" w14:paraId="7E61B65E" w14:textId="77777777" w:rsidTr="00A631BC">
        <w:trPr>
          <w:trHeight w:val="225"/>
        </w:trPr>
        <w:tc>
          <w:tcPr>
            <w:tcW w:w="186" w:type="dxa"/>
            <w:tcBorders>
              <w:top w:val="nil"/>
              <w:left w:val="nil"/>
              <w:bottom w:val="nil"/>
              <w:right w:val="nil"/>
            </w:tcBorders>
            <w:vAlign w:val="center"/>
            <w:hideMark/>
          </w:tcPr>
          <w:p w14:paraId="0F63784C"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760ABEBE"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Align w:val="center"/>
            <w:hideMark/>
          </w:tcPr>
          <w:p w14:paraId="154475A3"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3EAC8CD4" w14:textId="77777777" w:rsidTr="00667B50">
        <w:trPr>
          <w:trHeight w:val="225"/>
        </w:trPr>
        <w:tc>
          <w:tcPr>
            <w:tcW w:w="186" w:type="dxa"/>
            <w:tcBorders>
              <w:top w:val="nil"/>
              <w:left w:val="nil"/>
              <w:bottom w:val="nil"/>
              <w:right w:val="nil"/>
            </w:tcBorders>
            <w:vAlign w:val="center"/>
            <w:hideMark/>
          </w:tcPr>
          <w:p w14:paraId="059E3148"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20D557D2"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tcPr>
          <w:p w14:paraId="3396E3C3" w14:textId="0D85A6A0" w:rsidR="00B21212" w:rsidRPr="00B21212"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10.26. организация, осуществляющая учет, расчет и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667B50">
              <w:rPr>
                <w:rFonts w:ascii="Calibri" w:eastAsia="Times New Roman" w:hAnsi="Calibri" w:cs="Calibri"/>
                <w:sz w:val="24"/>
                <w:szCs w:val="24"/>
                <w:lang w:eastAsia="ru-RU"/>
              </w:rPr>
              <w:t>Белтопгаз</w:t>
            </w:r>
            <w:proofErr w:type="spellEnd"/>
            <w:r w:rsidRPr="00667B50">
              <w:rPr>
                <w:rFonts w:ascii="Calibri" w:eastAsia="Times New Roman" w:hAnsi="Calibri" w:cs="Calibri"/>
                <w:sz w:val="24"/>
                <w:szCs w:val="24"/>
                <w:lang w:eastAsia="ru-RU"/>
              </w:rPr>
              <w:t>» и государственного производственного объединения электроэнергетики «Белэнерго»), по запросам о предоставлении информации, содержащейся в Едином государственном </w:t>
            </w:r>
            <w:hyperlink r:id="rId4"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юридических лиц и индивидуальных предпринимателей и необходимой для предоставления безналичной жилищной субсидии;</w:t>
            </w:r>
          </w:p>
        </w:tc>
      </w:tr>
      <w:tr w:rsidR="00B21212" w:rsidRPr="00B21212" w14:paraId="29BBED1F" w14:textId="77777777" w:rsidTr="00A631BC">
        <w:trPr>
          <w:trHeight w:val="225"/>
        </w:trPr>
        <w:tc>
          <w:tcPr>
            <w:tcW w:w="186" w:type="dxa"/>
            <w:tcBorders>
              <w:top w:val="nil"/>
              <w:left w:val="nil"/>
              <w:bottom w:val="nil"/>
              <w:right w:val="nil"/>
            </w:tcBorders>
            <w:vAlign w:val="center"/>
            <w:hideMark/>
          </w:tcPr>
          <w:p w14:paraId="7CA36473"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23517BE7"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tcBorders>
              <w:top w:val="nil"/>
              <w:left w:val="single" w:sz="12" w:space="0" w:color="1544C9"/>
              <w:bottom w:val="nil"/>
              <w:right w:val="nil"/>
            </w:tcBorders>
            <w:vAlign w:val="center"/>
            <w:hideMark/>
          </w:tcPr>
          <w:p w14:paraId="080B0498" w14:textId="77777777" w:rsidR="00B21212" w:rsidRPr="00B21212" w:rsidRDefault="00B21212" w:rsidP="00B21212">
            <w:pPr>
              <w:spacing w:after="0" w:line="240" w:lineRule="auto"/>
              <w:rPr>
                <w:rFonts w:ascii="Calibri" w:eastAsia="Times New Roman" w:hAnsi="Calibri" w:cs="Calibri"/>
                <w:sz w:val="24"/>
                <w:szCs w:val="24"/>
                <w:lang w:eastAsia="ru-RU"/>
              </w:rPr>
            </w:pPr>
          </w:p>
        </w:tc>
      </w:tr>
      <w:tr w:rsidR="00B21212" w:rsidRPr="00B21212" w14:paraId="23DA2145" w14:textId="77777777" w:rsidTr="00A631BC">
        <w:trPr>
          <w:trHeight w:val="225"/>
        </w:trPr>
        <w:tc>
          <w:tcPr>
            <w:tcW w:w="186" w:type="dxa"/>
            <w:tcBorders>
              <w:top w:val="nil"/>
              <w:left w:val="nil"/>
              <w:bottom w:val="nil"/>
              <w:right w:val="nil"/>
            </w:tcBorders>
            <w:vAlign w:val="center"/>
            <w:hideMark/>
          </w:tcPr>
          <w:p w14:paraId="2984970E"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5EA3B0ED"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Align w:val="center"/>
            <w:hideMark/>
          </w:tcPr>
          <w:p w14:paraId="48C760D2"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48E54F9E" w14:textId="77777777" w:rsidTr="00A631BC">
        <w:trPr>
          <w:trHeight w:val="225"/>
        </w:trPr>
        <w:tc>
          <w:tcPr>
            <w:tcW w:w="186" w:type="dxa"/>
            <w:tcBorders>
              <w:top w:val="nil"/>
              <w:left w:val="nil"/>
              <w:bottom w:val="nil"/>
              <w:right w:val="nil"/>
            </w:tcBorders>
            <w:vAlign w:val="center"/>
            <w:hideMark/>
          </w:tcPr>
          <w:p w14:paraId="023B2AC3"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32E43463"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hideMark/>
          </w:tcPr>
          <w:p w14:paraId="718E284C"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10.26</w:t>
            </w:r>
            <w:r w:rsidRPr="00667B50">
              <w:rPr>
                <w:rFonts w:ascii="Calibri" w:eastAsia="Times New Roman" w:hAnsi="Calibri" w:cs="Calibri"/>
                <w:sz w:val="24"/>
                <w:szCs w:val="24"/>
                <w:vertAlign w:val="superscript"/>
                <w:lang w:eastAsia="ru-RU"/>
              </w:rPr>
              <w:t>1</w:t>
            </w:r>
            <w:r w:rsidRPr="00667B50">
              <w:rPr>
                <w:rFonts w:ascii="Calibri" w:eastAsia="Times New Roman" w:hAnsi="Calibri" w:cs="Calibri"/>
                <w:sz w:val="24"/>
                <w:szCs w:val="24"/>
                <w:lang w:eastAsia="ru-RU"/>
              </w:rPr>
              <w:t>. организация, назначающая и выплачивающая государственные пособия семьям, воспитывающим детей, а также временный (антикризисный) управляющий, назначенный судом для исполнения своих полномочий в делах о несостоятельности или банкротстве, по запросам о предоставлении информации, содержащейся в Едином государственном </w:t>
            </w:r>
            <w:hyperlink r:id="rId5"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xml:space="preserve"> юридических лиц и индивидуальных </w:t>
            </w:r>
            <w:r w:rsidRPr="00667B50">
              <w:rPr>
                <w:rFonts w:ascii="Calibri" w:eastAsia="Times New Roman" w:hAnsi="Calibri" w:cs="Calibri"/>
                <w:sz w:val="24"/>
                <w:szCs w:val="24"/>
                <w:lang w:eastAsia="ru-RU"/>
              </w:rPr>
              <w:lastRenderedPageBreak/>
              <w:t>предпринимателей и необходимой для выполнения возложенных на них законодательными актами обязанностей;</w:t>
            </w:r>
          </w:p>
          <w:p w14:paraId="75ACE6DD" w14:textId="13A65B72" w:rsidR="00667B50" w:rsidRPr="00667B50" w:rsidRDefault="00667B50" w:rsidP="00667B50">
            <w:pPr>
              <w:spacing w:after="0" w:line="225" w:lineRule="atLeast"/>
              <w:rPr>
                <w:rFonts w:ascii="Calibri" w:eastAsia="Times New Roman" w:hAnsi="Calibri" w:cs="Calibri"/>
                <w:sz w:val="24"/>
                <w:szCs w:val="24"/>
                <w:lang w:eastAsia="ru-RU"/>
              </w:rPr>
            </w:pPr>
            <w:bookmarkStart w:id="1" w:name="a13967"/>
            <w:bookmarkEnd w:id="1"/>
            <w:r w:rsidRPr="00667B50">
              <w:rPr>
                <w:rFonts w:ascii="Calibri" w:eastAsia="Times New Roman" w:hAnsi="Calibri" w:cs="Calibri"/>
                <w:sz w:val="24"/>
                <w:szCs w:val="24"/>
                <w:lang w:eastAsia="ru-RU"/>
              </w:rPr>
              <w:t>10.26</w:t>
            </w:r>
            <w:r w:rsidRPr="00667B50">
              <w:rPr>
                <w:rFonts w:ascii="Calibri" w:eastAsia="Times New Roman" w:hAnsi="Calibri" w:cs="Calibri"/>
                <w:sz w:val="24"/>
                <w:szCs w:val="24"/>
                <w:vertAlign w:val="superscript"/>
                <w:lang w:eastAsia="ru-RU"/>
              </w:rPr>
              <w:t>2</w:t>
            </w:r>
            <w:r w:rsidRPr="00667B50">
              <w:rPr>
                <w:rFonts w:ascii="Calibri" w:eastAsia="Times New Roman" w:hAnsi="Calibri" w:cs="Calibri"/>
                <w:sz w:val="24"/>
                <w:szCs w:val="24"/>
                <w:lang w:eastAsia="ru-RU"/>
              </w:rPr>
              <w:t>. финансовое учреждение Республики Беларусь за предоставление ему информации, содержащейся в Едином государственном </w:t>
            </w:r>
            <w:hyperlink r:id="rId6"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юридических лиц и индивидуальных предпринимателей, в целях проверки в соответствии со </w:t>
            </w:r>
            <w:hyperlink r:id="rId7" w:anchor="a5564" w:tooltip="Налоговый кодекс Республики Беларусь (Общая часть) от 19.12.2002 № 166-З" w:history="1">
              <w:r w:rsidRPr="00667B50">
                <w:rPr>
                  <w:rStyle w:val="a4"/>
                  <w:rFonts w:ascii="Calibri" w:eastAsia="Times New Roman" w:hAnsi="Calibri" w:cs="Calibri"/>
                  <w:color w:val="auto"/>
                  <w:sz w:val="24"/>
                  <w:szCs w:val="24"/>
                  <w:u w:val="none"/>
                  <w:lang w:eastAsia="ru-RU"/>
                </w:rPr>
                <w:t>статьей 86</w:t>
              </w:r>
              <w:r w:rsidRPr="00667B50">
                <w:rPr>
                  <w:rStyle w:val="a4"/>
                  <w:rFonts w:ascii="Calibri" w:eastAsia="Times New Roman" w:hAnsi="Calibri" w:cs="Calibri"/>
                  <w:color w:val="auto"/>
                  <w:sz w:val="24"/>
                  <w:szCs w:val="24"/>
                  <w:u w:val="none"/>
                  <w:vertAlign w:val="superscript"/>
                  <w:lang w:eastAsia="ru-RU"/>
                </w:rPr>
                <w:t>1</w:t>
              </w:r>
            </w:hyperlink>
            <w:r w:rsidRPr="00667B50">
              <w:rPr>
                <w:rFonts w:ascii="Calibri" w:eastAsia="Times New Roman" w:hAnsi="Calibri" w:cs="Calibri"/>
                <w:sz w:val="24"/>
                <w:szCs w:val="24"/>
                <w:lang w:eastAsia="ru-RU"/>
              </w:rPr>
              <w:t> </w:t>
            </w:r>
            <w:r>
              <w:rPr>
                <w:rFonts w:ascii="Calibri" w:eastAsia="Times New Roman" w:hAnsi="Calibri" w:cs="Calibri"/>
                <w:sz w:val="24"/>
                <w:szCs w:val="24"/>
                <w:lang w:eastAsia="ru-RU"/>
              </w:rPr>
              <w:t>Налогового</w:t>
            </w:r>
            <w:r w:rsidRPr="00667B50">
              <w:rPr>
                <w:rFonts w:ascii="Calibri" w:eastAsia="Times New Roman" w:hAnsi="Calibri" w:cs="Calibri"/>
                <w:sz w:val="24"/>
                <w:szCs w:val="24"/>
                <w:lang w:eastAsia="ru-RU"/>
              </w:rPr>
              <w:t xml:space="preserve"> Кодекса достоверности идентификационных сведений:</w:t>
            </w:r>
          </w:p>
          <w:p w14:paraId="0521A4D9"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о клиентах, в отношении которых у финансового учреждения Республики Беларусь имеются документально подтвержденные основания считать, что они являются иностранными организациями или иностранными физическими лицами;</w:t>
            </w:r>
          </w:p>
          <w:p w14:paraId="76BDD658"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об организациях и физических лицах, обратившихся за открытием счета (заключением договора);</w:t>
            </w:r>
          </w:p>
          <w:p w14:paraId="6BD4F30A"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10.26</w:t>
            </w:r>
            <w:r w:rsidRPr="00667B50">
              <w:rPr>
                <w:rFonts w:ascii="Calibri" w:eastAsia="Times New Roman" w:hAnsi="Calibri" w:cs="Calibri"/>
                <w:sz w:val="24"/>
                <w:szCs w:val="24"/>
                <w:vertAlign w:val="superscript"/>
                <w:lang w:eastAsia="ru-RU"/>
              </w:rPr>
              <w:t>3</w:t>
            </w:r>
            <w:r w:rsidRPr="00667B50">
              <w:rPr>
                <w:rFonts w:ascii="Calibri" w:eastAsia="Times New Roman" w:hAnsi="Calibri" w:cs="Calibri"/>
                <w:sz w:val="24"/>
                <w:szCs w:val="24"/>
                <w:lang w:eastAsia="ru-RU"/>
              </w:rPr>
              <w:t>. Белорусский фонд финансовой поддержки предпринимателей по запросам о предоставлении информации, содержащейся в Едином государственном </w:t>
            </w:r>
            <w:hyperlink r:id="rId8" w:anchor="a14" w:tooltip="Полезные ссылки" w:history="1">
              <w:r w:rsidRPr="00667B50">
                <w:rPr>
                  <w:rStyle w:val="a4"/>
                  <w:rFonts w:ascii="Calibri" w:eastAsia="Times New Roman" w:hAnsi="Calibri" w:cs="Calibri"/>
                  <w:color w:val="auto"/>
                  <w:sz w:val="24"/>
                  <w:szCs w:val="24"/>
                  <w:u w:val="none"/>
                  <w:lang w:eastAsia="ru-RU"/>
                </w:rPr>
                <w:t>регистре</w:t>
              </w:r>
            </w:hyperlink>
            <w:r w:rsidRPr="00667B50">
              <w:rPr>
                <w:rFonts w:ascii="Calibri" w:eastAsia="Times New Roman" w:hAnsi="Calibri" w:cs="Calibri"/>
                <w:sz w:val="24"/>
                <w:szCs w:val="24"/>
                <w:lang w:eastAsia="ru-RU"/>
              </w:rPr>
              <w:t> юридических лиц и индивидуальных предпринимателей и необходимой для выполнения возложенных на него задач по предоставлению государственной финансовой поддержки субъектам малого и среднего предпринимательства – коммерческим организациям;</w:t>
            </w:r>
          </w:p>
          <w:p w14:paraId="77BA809F" w14:textId="4122941E" w:rsidR="00B21212" w:rsidRPr="00B21212" w:rsidRDefault="00B21212" w:rsidP="00B21212">
            <w:pPr>
              <w:spacing w:after="0" w:line="225" w:lineRule="atLeast"/>
              <w:rPr>
                <w:rFonts w:ascii="Calibri" w:eastAsia="Times New Roman" w:hAnsi="Calibri" w:cs="Calibri"/>
                <w:sz w:val="24"/>
                <w:szCs w:val="24"/>
                <w:lang w:eastAsia="ru-RU"/>
              </w:rPr>
            </w:pPr>
          </w:p>
        </w:tc>
      </w:tr>
      <w:tr w:rsidR="00B21212" w:rsidRPr="00B21212" w14:paraId="0D91C128" w14:textId="77777777" w:rsidTr="00A631BC">
        <w:trPr>
          <w:trHeight w:val="225"/>
        </w:trPr>
        <w:tc>
          <w:tcPr>
            <w:tcW w:w="186" w:type="dxa"/>
            <w:tcBorders>
              <w:top w:val="nil"/>
              <w:left w:val="nil"/>
              <w:bottom w:val="nil"/>
              <w:right w:val="nil"/>
            </w:tcBorders>
            <w:vAlign w:val="center"/>
            <w:hideMark/>
          </w:tcPr>
          <w:p w14:paraId="202C43FB"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5D38B705"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tcBorders>
              <w:top w:val="nil"/>
              <w:left w:val="single" w:sz="12" w:space="0" w:color="1544C9"/>
              <w:bottom w:val="nil"/>
              <w:right w:val="nil"/>
            </w:tcBorders>
            <w:vAlign w:val="center"/>
            <w:hideMark/>
          </w:tcPr>
          <w:p w14:paraId="63D2158D" w14:textId="77777777" w:rsidR="00B21212" w:rsidRPr="00B21212" w:rsidRDefault="00B21212" w:rsidP="00B21212">
            <w:pPr>
              <w:spacing w:after="0" w:line="240" w:lineRule="auto"/>
              <w:rPr>
                <w:rFonts w:ascii="Calibri" w:eastAsia="Times New Roman" w:hAnsi="Calibri" w:cs="Calibri"/>
                <w:sz w:val="24"/>
                <w:szCs w:val="24"/>
                <w:lang w:eastAsia="ru-RU"/>
              </w:rPr>
            </w:pPr>
          </w:p>
        </w:tc>
      </w:tr>
      <w:tr w:rsidR="00B21212" w:rsidRPr="00B21212" w14:paraId="24A697EF" w14:textId="77777777" w:rsidTr="00A631BC">
        <w:trPr>
          <w:trHeight w:val="225"/>
        </w:trPr>
        <w:tc>
          <w:tcPr>
            <w:tcW w:w="186" w:type="dxa"/>
            <w:tcBorders>
              <w:top w:val="nil"/>
              <w:left w:val="nil"/>
              <w:bottom w:val="nil"/>
              <w:right w:val="nil"/>
            </w:tcBorders>
            <w:vAlign w:val="center"/>
            <w:hideMark/>
          </w:tcPr>
          <w:p w14:paraId="2BABC378"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7776A550" w14:textId="77777777" w:rsidR="00B21212" w:rsidRPr="00B21212" w:rsidRDefault="00B21212" w:rsidP="00B21212">
            <w:pPr>
              <w:spacing w:after="0" w:line="240" w:lineRule="auto"/>
              <w:rPr>
                <w:rFonts w:ascii="Calibri" w:eastAsia="Times New Roman" w:hAnsi="Calibri" w:cs="Calibri"/>
                <w:szCs w:val="24"/>
                <w:lang w:eastAsia="ru-RU"/>
              </w:rPr>
            </w:pPr>
          </w:p>
        </w:tc>
        <w:tc>
          <w:tcPr>
            <w:tcW w:w="3384" w:type="dxa"/>
            <w:vAlign w:val="center"/>
            <w:hideMark/>
          </w:tcPr>
          <w:p w14:paraId="1DB0DC49"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481" w:type="dxa"/>
            <w:vAlign w:val="center"/>
            <w:hideMark/>
          </w:tcPr>
          <w:p w14:paraId="24FF977D"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481" w:type="dxa"/>
            <w:vAlign w:val="center"/>
            <w:hideMark/>
          </w:tcPr>
          <w:p w14:paraId="7C636E5F"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4803" w:type="dxa"/>
            <w:vAlign w:val="center"/>
            <w:hideMark/>
          </w:tcPr>
          <w:p w14:paraId="0D8E3C29"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r>
      <w:tr w:rsidR="00B21212" w:rsidRPr="00B21212" w14:paraId="6F971200" w14:textId="77777777" w:rsidTr="00A631BC">
        <w:trPr>
          <w:trHeight w:val="225"/>
        </w:trPr>
        <w:tc>
          <w:tcPr>
            <w:tcW w:w="186" w:type="dxa"/>
            <w:tcBorders>
              <w:top w:val="nil"/>
              <w:left w:val="nil"/>
              <w:bottom w:val="nil"/>
              <w:right w:val="nil"/>
            </w:tcBorders>
            <w:vAlign w:val="center"/>
            <w:hideMark/>
          </w:tcPr>
          <w:p w14:paraId="261F77A7"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nil"/>
              <w:right w:val="nil"/>
            </w:tcBorders>
            <w:vAlign w:val="center"/>
            <w:hideMark/>
          </w:tcPr>
          <w:p w14:paraId="203E149E"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Align w:val="center"/>
            <w:hideMark/>
          </w:tcPr>
          <w:p w14:paraId="08A9A7CD" w14:textId="77777777" w:rsidR="00B21212" w:rsidRPr="00B21212" w:rsidRDefault="00B21212" w:rsidP="00B21212">
            <w:pPr>
              <w:spacing w:after="0" w:line="240" w:lineRule="auto"/>
              <w:rPr>
                <w:rFonts w:ascii="Calibri" w:eastAsia="Times New Roman" w:hAnsi="Calibri" w:cs="Calibri"/>
                <w:szCs w:val="24"/>
                <w:lang w:eastAsia="ru-RU"/>
              </w:rPr>
            </w:pPr>
          </w:p>
        </w:tc>
      </w:tr>
      <w:tr w:rsidR="00B21212" w:rsidRPr="00B21212" w14:paraId="6F5249E1" w14:textId="77777777" w:rsidTr="00A631BC">
        <w:trPr>
          <w:trHeight w:val="225"/>
        </w:trPr>
        <w:tc>
          <w:tcPr>
            <w:tcW w:w="186" w:type="dxa"/>
            <w:tcBorders>
              <w:top w:val="nil"/>
              <w:left w:val="nil"/>
              <w:bottom w:val="nil"/>
              <w:right w:val="nil"/>
            </w:tcBorders>
            <w:vAlign w:val="center"/>
            <w:hideMark/>
          </w:tcPr>
          <w:p w14:paraId="119A827D" w14:textId="77777777" w:rsidR="00B21212" w:rsidRPr="00B21212" w:rsidRDefault="00B21212" w:rsidP="00B21212">
            <w:pPr>
              <w:spacing w:after="0" w:line="240" w:lineRule="auto"/>
              <w:rPr>
                <w:rFonts w:ascii="Calibri" w:eastAsia="Times New Roman" w:hAnsi="Calibri" w:cs="Calibri"/>
                <w:szCs w:val="24"/>
                <w:lang w:eastAsia="ru-RU"/>
              </w:rPr>
            </w:pPr>
          </w:p>
        </w:tc>
        <w:tc>
          <w:tcPr>
            <w:tcW w:w="200" w:type="dxa"/>
            <w:tcBorders>
              <w:top w:val="nil"/>
              <w:left w:val="single" w:sz="12" w:space="0" w:color="1544C9"/>
              <w:bottom w:val="single" w:sz="12" w:space="0" w:color="1544C9"/>
              <w:right w:val="nil"/>
            </w:tcBorders>
            <w:vAlign w:val="center"/>
            <w:hideMark/>
          </w:tcPr>
          <w:p w14:paraId="6F8CABE1" w14:textId="77777777" w:rsidR="00B21212" w:rsidRPr="00B21212" w:rsidRDefault="00B21212" w:rsidP="00B21212">
            <w:pPr>
              <w:spacing w:after="0" w:line="240" w:lineRule="auto"/>
              <w:rPr>
                <w:rFonts w:ascii="Calibri" w:eastAsia="Times New Roman" w:hAnsi="Calibri" w:cs="Calibri"/>
                <w:szCs w:val="24"/>
                <w:lang w:eastAsia="ru-RU"/>
              </w:rPr>
            </w:pPr>
          </w:p>
        </w:tc>
        <w:tc>
          <w:tcPr>
            <w:tcW w:w="9149" w:type="dxa"/>
            <w:gridSpan w:val="4"/>
            <w:vMerge w:val="restart"/>
            <w:tcBorders>
              <w:top w:val="single" w:sz="18" w:space="0" w:color="1544C9"/>
              <w:left w:val="single" w:sz="18" w:space="0" w:color="1544C9"/>
              <w:bottom w:val="single" w:sz="18" w:space="0" w:color="1544C9"/>
              <w:right w:val="single" w:sz="18" w:space="0" w:color="1544C9"/>
            </w:tcBorders>
            <w:shd w:val="clear" w:color="auto" w:fill="FCD5B5"/>
            <w:vAlign w:val="center"/>
            <w:hideMark/>
          </w:tcPr>
          <w:p w14:paraId="481B86D2" w14:textId="77777777" w:rsidR="00667B50" w:rsidRPr="00667B50" w:rsidRDefault="00667B50" w:rsidP="00667B50">
            <w:pPr>
              <w:spacing w:after="0" w:line="225" w:lineRule="atLeast"/>
              <w:rPr>
                <w:rFonts w:ascii="Calibri" w:eastAsia="Times New Roman" w:hAnsi="Calibri" w:cs="Calibri"/>
                <w:sz w:val="24"/>
                <w:szCs w:val="24"/>
                <w:lang w:eastAsia="ru-RU"/>
              </w:rPr>
            </w:pPr>
            <w:r w:rsidRPr="00667B50">
              <w:rPr>
                <w:rFonts w:ascii="Calibri" w:eastAsia="Times New Roman" w:hAnsi="Calibri" w:cs="Calibri"/>
                <w:sz w:val="24"/>
                <w:szCs w:val="24"/>
                <w:lang w:eastAsia="ru-RU"/>
              </w:rPr>
              <w:t>12. Освобождаются от государственной пошлины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и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14:paraId="630FF590" w14:textId="77777777" w:rsidR="00667B50" w:rsidRPr="00667B50" w:rsidRDefault="00667B50" w:rsidP="00667B50">
            <w:pPr>
              <w:spacing w:after="0" w:line="225" w:lineRule="atLeast"/>
              <w:rPr>
                <w:rFonts w:ascii="Calibri" w:eastAsia="Times New Roman" w:hAnsi="Calibri" w:cs="Calibri"/>
                <w:sz w:val="24"/>
                <w:szCs w:val="24"/>
                <w:lang w:eastAsia="ru-RU"/>
              </w:rPr>
            </w:pPr>
            <w:bookmarkStart w:id="2" w:name="a10983"/>
            <w:bookmarkEnd w:id="2"/>
            <w:r w:rsidRPr="00667B50">
              <w:rPr>
                <w:rFonts w:ascii="Calibri" w:eastAsia="Times New Roman" w:hAnsi="Calibri" w:cs="Calibri"/>
                <w:sz w:val="24"/>
                <w:szCs w:val="24"/>
                <w:lang w:eastAsia="ru-RU"/>
              </w:rPr>
              <w:t>по судебным делам;</w:t>
            </w:r>
          </w:p>
          <w:p w14:paraId="764C75E4" w14:textId="77777777" w:rsidR="00667B50" w:rsidRPr="00667B50" w:rsidRDefault="00667B50" w:rsidP="00667B50">
            <w:pPr>
              <w:spacing w:after="0" w:line="225" w:lineRule="atLeast"/>
              <w:rPr>
                <w:rFonts w:ascii="Calibri" w:eastAsia="Times New Roman" w:hAnsi="Calibri" w:cs="Calibri"/>
                <w:sz w:val="24"/>
                <w:szCs w:val="24"/>
                <w:lang w:eastAsia="ru-RU"/>
              </w:rPr>
            </w:pPr>
            <w:bookmarkStart w:id="3" w:name="a11007"/>
            <w:bookmarkEnd w:id="3"/>
            <w:r w:rsidRPr="00667B50">
              <w:rPr>
                <w:rFonts w:ascii="Calibri" w:eastAsia="Times New Roman" w:hAnsi="Calibri" w:cs="Calibri"/>
                <w:sz w:val="24"/>
                <w:szCs w:val="24"/>
                <w:lang w:eastAsia="ru-RU"/>
              </w:rPr>
              <w:t>за рассмотрение судами исковых заявлений (заявлений), подаваемых такими органами в защиту прав и законных интересов других лиц в случаях, предусмотренных законодательством;</w:t>
            </w:r>
          </w:p>
          <w:p w14:paraId="02AAD8F8" w14:textId="6F7A30E6" w:rsidR="00B21212" w:rsidRPr="00B21212" w:rsidRDefault="00667B50" w:rsidP="00667B50">
            <w:pPr>
              <w:spacing w:after="0" w:line="225" w:lineRule="atLeast"/>
              <w:rPr>
                <w:rFonts w:ascii="Calibri" w:eastAsia="Times New Roman" w:hAnsi="Calibri" w:cs="Calibri"/>
                <w:sz w:val="24"/>
                <w:szCs w:val="24"/>
                <w:lang w:eastAsia="ru-RU"/>
              </w:rPr>
            </w:pPr>
            <w:bookmarkStart w:id="4" w:name="a10810"/>
            <w:bookmarkEnd w:id="4"/>
            <w:r w:rsidRPr="00667B50">
              <w:rPr>
                <w:rFonts w:ascii="Calibri" w:eastAsia="Times New Roman" w:hAnsi="Calibri" w:cs="Calibri"/>
                <w:sz w:val="24"/>
                <w:szCs w:val="24"/>
                <w:lang w:eastAsia="ru-RU"/>
              </w:rPr>
              <w:t>при обращении в органы, взимающие государственную пошлину, за совершением иных юридически значимых действий, являющихся объектами обложения государственной пошлиной.</w:t>
            </w:r>
          </w:p>
        </w:tc>
      </w:tr>
      <w:tr w:rsidR="00B21212" w:rsidRPr="00B21212" w14:paraId="70EE11A7" w14:textId="77777777" w:rsidTr="00A631BC">
        <w:tc>
          <w:tcPr>
            <w:tcW w:w="186" w:type="dxa"/>
            <w:vAlign w:val="center"/>
            <w:hideMark/>
          </w:tcPr>
          <w:p w14:paraId="42E927E3" w14:textId="77777777" w:rsidR="00B21212" w:rsidRPr="00B21212" w:rsidRDefault="00B21212" w:rsidP="00B21212">
            <w:pPr>
              <w:spacing w:after="0" w:line="240" w:lineRule="auto"/>
              <w:rPr>
                <w:rFonts w:ascii="Calibri" w:eastAsia="Times New Roman" w:hAnsi="Calibri" w:cs="Calibri"/>
                <w:sz w:val="24"/>
                <w:szCs w:val="24"/>
                <w:lang w:eastAsia="ru-RU"/>
              </w:rPr>
            </w:pPr>
          </w:p>
        </w:tc>
        <w:tc>
          <w:tcPr>
            <w:tcW w:w="200" w:type="dxa"/>
            <w:vAlign w:val="center"/>
            <w:hideMark/>
          </w:tcPr>
          <w:p w14:paraId="05AC16A5" w14:textId="77777777" w:rsidR="00B21212" w:rsidRPr="00B21212" w:rsidRDefault="00B21212" w:rsidP="00B21212">
            <w:pPr>
              <w:spacing w:after="0" w:line="240" w:lineRule="auto"/>
              <w:rPr>
                <w:rFonts w:ascii="Times New Roman" w:eastAsia="Times New Roman" w:hAnsi="Times New Roman" w:cs="Times New Roman"/>
                <w:sz w:val="20"/>
                <w:szCs w:val="20"/>
                <w:lang w:eastAsia="ru-RU"/>
              </w:rPr>
            </w:pPr>
          </w:p>
        </w:tc>
        <w:tc>
          <w:tcPr>
            <w:tcW w:w="9149" w:type="dxa"/>
            <w:gridSpan w:val="4"/>
            <w:vMerge/>
            <w:tcBorders>
              <w:top w:val="single" w:sz="18" w:space="0" w:color="1544C9"/>
              <w:left w:val="single" w:sz="18" w:space="0" w:color="1544C9"/>
              <w:bottom w:val="single" w:sz="18" w:space="0" w:color="1544C9"/>
              <w:right w:val="single" w:sz="18" w:space="0" w:color="1544C9"/>
            </w:tcBorders>
            <w:vAlign w:val="center"/>
            <w:hideMark/>
          </w:tcPr>
          <w:p w14:paraId="35ED6FFD" w14:textId="77777777" w:rsidR="00B21212" w:rsidRPr="00B21212" w:rsidRDefault="00B21212" w:rsidP="00B21212">
            <w:pPr>
              <w:spacing w:after="0" w:line="240" w:lineRule="auto"/>
              <w:rPr>
                <w:rFonts w:ascii="Calibri" w:eastAsia="Times New Roman" w:hAnsi="Calibri" w:cs="Calibri"/>
                <w:sz w:val="24"/>
                <w:szCs w:val="24"/>
                <w:lang w:eastAsia="ru-RU"/>
              </w:rPr>
            </w:pPr>
          </w:p>
        </w:tc>
      </w:tr>
    </w:tbl>
    <w:p w14:paraId="78281E37" w14:textId="77777777" w:rsidR="00605A37" w:rsidRDefault="00605A37"/>
    <w:sectPr w:rsidR="00605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12"/>
    <w:rsid w:val="000C3D4B"/>
    <w:rsid w:val="00605A37"/>
    <w:rsid w:val="00667B50"/>
    <w:rsid w:val="00A631BC"/>
    <w:rsid w:val="00B21212"/>
    <w:rsid w:val="00D9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A001"/>
  <w15:docId w15:val="{60B36326-C352-403B-8777-BE3782BF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631BC"/>
    <w:rPr>
      <w:i/>
      <w:iCs/>
    </w:rPr>
  </w:style>
  <w:style w:type="character" w:styleId="a4">
    <w:name w:val="Hyperlink"/>
    <w:basedOn w:val="a0"/>
    <w:uiPriority w:val="99"/>
    <w:unhideWhenUsed/>
    <w:rsid w:val="00667B50"/>
    <w:rPr>
      <w:color w:val="0000FF" w:themeColor="hyperlink"/>
      <w:u w:val="single"/>
    </w:rPr>
  </w:style>
  <w:style w:type="character" w:styleId="a5">
    <w:name w:val="Unresolved Mention"/>
    <w:basedOn w:val="a0"/>
    <w:uiPriority w:val="99"/>
    <w:semiHidden/>
    <w:unhideWhenUsed/>
    <w:rsid w:val="0066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9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docs/poleznye-ssylki-219924?a=a14" TargetMode="External"/><Relationship Id="rId3" Type="http://schemas.openxmlformats.org/officeDocument/2006/relationships/webSettings" Target="webSettings.xml"/><Relationship Id="rId7" Type="http://schemas.openxmlformats.org/officeDocument/2006/relationships/hyperlink" Target="https://bii.by/docs/nalogovyj-kodeks-respubliki-belarus-obshchaya-chast-19-12-2002-55714?a=a55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i.by/docs/poleznye-ssylki-219924?a=a14" TargetMode="External"/><Relationship Id="rId5" Type="http://schemas.openxmlformats.org/officeDocument/2006/relationships/hyperlink" Target="https://bii.by/docs/poleznye-ssylki-219924?a=a14" TargetMode="External"/><Relationship Id="rId10" Type="http://schemas.openxmlformats.org/officeDocument/2006/relationships/theme" Target="theme/theme1.xml"/><Relationship Id="rId4" Type="http://schemas.openxmlformats.org/officeDocument/2006/relationships/hyperlink" Target="https://bii.by/docs/poleznye-ssylki-219924?a=a1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Z-tech</dc:creator>
  <cp:lastModifiedBy>Пользователь</cp:lastModifiedBy>
  <cp:revision>2</cp:revision>
  <dcterms:created xsi:type="dcterms:W3CDTF">2025-06-04T12:29:00Z</dcterms:created>
  <dcterms:modified xsi:type="dcterms:W3CDTF">2025-06-04T12:29:00Z</dcterms:modified>
</cp:coreProperties>
</file>